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South East</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South East</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993564" cy="1518035"/>
            <wp:docPr id="1002" name="Picture 1580869515"/>
            <wp:cNvGraphicFramePr>
              <a:graphicFrameLocks noChangeAspect="1"/>
            </wp:cNvGraphicFramePr>
            <a:graphic>
              <a:graphicData uri="http://schemas.openxmlformats.org/drawingml/2006/picture">
                <pic:pic>
                  <pic:nvPicPr>
                    <pic:cNvPr id="0" name="South East.png"/>
                    <pic:cNvPicPr/>
                  </pic:nvPicPr>
                  <pic:blipFill>
                    <a:blip r:embed="rId28"/>
                    <a:stretch>
                      <a:fillRect/>
                    </a:stretch>
                  </pic:blipFill>
                  <pic:spPr>
                    <a:xfrm>
                      <a:off x="0" y="0"/>
                      <a:ext cx="1993564" cy="1518035"/>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East,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East,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South East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South East is ranked </w:t>
      </w:r>
      <w:r w:rsidRPr="004141A5">
        <w:rPr>
          <w:rFonts w:ascii="Franklin Gothic Book" w:eastAsia="Times New Roman" w:hAnsi="Franklin Gothic Book" w:cs="Calibri Light"/>
          <w:b/>
          <w:bCs/>
          <w:color w:val="EF681C" w:themeColor="accent2"/>
          <w:sz w:val="22"/>
          <w:szCs w:val="22"/>
        </w:rPr>
        <w:t xml:space="preserve">second lowest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58.8%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2.6%</w:t>
      </w:r>
      <w:r w:rsidR="009E7905" w:rsidRPr="004141A5">
        <w:rPr>
          <w:rFonts w:ascii="Franklin Gothic Book" w:eastAsia="Times New Roman" w:hAnsi="Franklin Gothic Book" w:cs="Calibri Light"/>
          <w:sz w:val="22"/>
          <w:szCs w:val="22"/>
        </w:rPr>
        <w:t xml:space="preserve">) in the South East</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7th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South East (among those with a PGSI score of 8+) is </w:t>
      </w:r>
      <w:r w:rsidRPr="004141A5">
        <w:rPr>
          <w:rFonts w:ascii="Franklin Gothic Book" w:hAnsi="Franklin Gothic Book" w:cs="Calibri Light"/>
          <w:b/>
          <w:bCs/>
          <w:color w:val="EF681C" w:themeColor="accent2"/>
          <w:sz w:val="22"/>
          <w:szCs w:val="22"/>
        </w:rPr>
        <w:t xml:space="preserve">Gambling has positive impacts</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20.8%</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South East.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South East</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lower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second lowest</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58.8%</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4,403,694</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South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South East.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South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54.6%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58.8%</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South East.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South East</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12.8%</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961,797</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South East</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lowest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8th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7th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South East</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10909"/>
            <wp:docPr id="1006" name="Picture 1580869508"/>
            <wp:cNvGraphicFramePr>
              <a:graphicFrameLocks noChangeAspect="1"/>
            </wp:cNvGraphicFramePr>
            <a:graphic>
              <a:graphicData uri="http://schemas.openxmlformats.org/drawingml/2006/picture">
                <pic:pic>
                  <pic:nvPicPr>
                    <pic:cNvPr id="0" name="la_top_ten_South East.png"/>
                    <pic:cNvPicPr/>
                  </pic:nvPicPr>
                  <pic:blipFill>
                    <a:blip r:embed="rId21"/>
                    <a:stretch>
                      <a:fillRect/>
                    </a:stretch>
                  </pic:blipFill>
                  <pic:spPr>
                    <a:xfrm>
                      <a:off x="0" y="0"/>
                      <a:ext cx="5400000" cy="2810909"/>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South East</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Oxford (18.1%).</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5.8%</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Rother (9.5%)</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South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South East.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South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1.5%</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2.6%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South East</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8.3%</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4th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10.1%</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4th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South East.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South East</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6.8%</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South East</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5th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38.4%</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Furthermore</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South East shows a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71.5%</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second highest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South East.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South East</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6.3%</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3rd</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38.4%</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however, not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South East</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64.8%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Oxford</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South East</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8447"/>
            <wp:docPr id="1010" name="Picture 1580869511"/>
            <wp:cNvGraphicFramePr>
              <a:graphicFrameLocks noChangeAspect="1"/>
            </wp:cNvGraphicFramePr>
            <a:graphic>
              <a:graphicData uri="http://schemas.openxmlformats.org/drawingml/2006/picture">
                <pic:pic>
                  <pic:nvPicPr>
                    <pic:cNvPr id="0" name="pgsi_access_treat_time_series_South East.png"/>
                    <pic:cNvPicPr/>
                  </pic:nvPicPr>
                  <pic:blipFill>
                    <a:blip r:embed="rId24"/>
                    <a:stretch>
                      <a:fillRect/>
                    </a:stretch>
                  </pic:blipFill>
                  <pic:spPr>
                    <a:xfrm>
                      <a:off x="0" y="0"/>
                      <a:ext cx="5400000" cy="253844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South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66.5%</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71.5%</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South East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South East.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South East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63.8%</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64.8%</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South East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South East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South East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50.3%*</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50.2%*</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18.7%*</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36.3%*</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30.1%*</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7.5%*</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4.0%*</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15.4%*</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20.8%*</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4.6%*</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9.4%*</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4.8%*</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South East</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50.3%</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50.2%</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Gambling has positive impacts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20.8%</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16.1%</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South East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South East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South East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10.7%*</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35.0%*</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41.7%*</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14.4%*</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19.8%*</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46.6%*</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15.6%*</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56.2%*</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45.4%*</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22.6%*</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18.3%*</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28.5%*</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South East</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Severe negative impact</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22.6%</w:t>
      </w:r>
      <w:r w:rsidR="00111031" w:rsidRPr="00001D81">
        <w:rPr>
          <w:rFonts w:ascii="Franklin Gothic Book" w:eastAsia="Times New Roman" w:hAnsi="Franklin Gothic Book" w:cs="Calibri Light"/>
          <w:szCs w:val="20"/>
          <w:lang w:eastAsia="en-GB"/>
        </w:rPr>
        <w:t xml:space="preserve">, compared to 5.9%</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56.2%</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32.6%</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46.6%</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37.8%</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South East</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7.4%</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7th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South East.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South East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South East</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South East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£140,296,106</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South East</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£2,285,194</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£47,259,083</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£3,385,472</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£952,164</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£1,745,634</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£84,668,557</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£140,296,106</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South East</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48.5%</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51.5%</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36.3%</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45.6%</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46.4%</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45.5%</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7.4%</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5.4%</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6.1%</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1.9%</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3.9%</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1.5%</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17.4%</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8.8%</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3.9%</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1.5%</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20.8%</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24.3%</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35.3%</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47.3%</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39.8%</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38.4%</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32.1%</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45.6%</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54.9%</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7.0%</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7.6%</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5.0%</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7.7%</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3.7%</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1.5%</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5.8%</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3.2%</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0.2%</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South East, with </w:t>
      </w:r>
      <w:r w:rsidR="005F35A7" w:rsidRPr="006E0C20">
        <w:rPr>
          <w:rFonts w:ascii="Franklin Gothic Book" w:hAnsi="Franklin Gothic Book" w:cs="Calibri Light"/>
          <w:b/>
          <w:bCs/>
          <w:color w:val="003777"/>
          <w:sz w:val="22"/>
          <w:szCs w:val="22"/>
        </w:rPr>
        <w:t xml:space="preserve">20.5%</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14.5% among those aged 35-54 and 6.7%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13.7%</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86.3%</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49.5%</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40.1%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26.9%</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48.5%</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9.9%</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5.9%</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8.4%</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5.3%</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2.3%</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11.4%</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(23.6%),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2.3%</w:t>
      </w:r>
      <w:r w:rsidR="005F35A7" w:rsidRPr="006E0C20">
        <w:rPr>
          <w:rFonts w:ascii="Franklin Gothic Book" w:hAnsi="Franklin Gothic Book" w:cs="Calibri Light"/>
          <w:sz w:val="22"/>
          <w:szCs w:val="22"/>
        </w:rPr>
        <w:t xml:space="preserve">, compared with 5.3%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2.1%</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22.5%</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17.8%</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57.6%</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66.6%</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42.1%</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49.4%</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36.8%</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24.0%</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52.2%</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35.2%</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46.8%</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0.8%</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4.7%</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8.4%</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7.4%</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2.9%</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0.8%</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5.4%</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5.8%</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0.2%</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2.3%</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3.6%</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full-time students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5.8%</w:t>
      </w:r>
      <w:r w:rsidR="005F35A7" w:rsidRPr="006E0C20">
        <w:rPr>
          <w:rFonts w:ascii="Franklin Gothic Book" w:hAnsi="Franklin Gothic Book" w:cs="Calibri Light"/>
          <w:sz w:val="22"/>
          <w:szCs w:val="22"/>
        </w:rPr>
        <w:t xml:space="preserve">, compared with 3.6%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52.4%</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47.6%</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44.8%</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38.5%</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41.7%</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49.4%</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5.3%</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7.3%</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4.5%</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3.0%</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3.7%</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1.9%</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3.7%</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1.9%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49.5%</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42.8%</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7.6%</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37.7%</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41.9%</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53.9%</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46.4%</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48.2%</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29.6%</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7.6%</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5.3%</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7.1%</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4.8%</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2.9%</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4.3%</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3.4%</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1.8%</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5.1%</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South East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South East</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5.1%</w:t>
      </w:r>
      <w:r w:rsidR="004D2F15" w:rsidRPr="006E0C20">
        <w:rPr>
          <w:rFonts w:ascii="Franklin Gothic Book" w:hAnsi="Franklin Gothic Book" w:cs="Calibri Light"/>
          <w:sz w:val="22"/>
          <w:szCs w:val="22"/>
        </w:rPr>
        <w:t xml:space="preserve"> compared with 3.4% among those of Christian faith and 1.8%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9594EDF8-CBE1-4A5A-B62C-954124B9E6D3}"/>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